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89636" w14:textId="27070FC2" w:rsidR="006D67F8" w:rsidRDefault="006D67F8" w:rsidP="006D67F8">
      <w:r>
        <w:tab/>
      </w:r>
      <w:r>
        <w:tab/>
      </w:r>
      <w:r>
        <w:tab/>
      </w:r>
      <w:r>
        <w:tab/>
      </w:r>
      <w:r>
        <w:tab/>
        <w:t>Østagergård den 1</w:t>
      </w:r>
      <w:r>
        <w:t>8</w:t>
      </w:r>
      <w:r>
        <w:t>. maj 2020</w:t>
      </w:r>
    </w:p>
    <w:p w14:paraId="3FB74C77" w14:textId="77777777" w:rsidR="006D67F8" w:rsidRPr="001638A6" w:rsidRDefault="006D67F8" w:rsidP="006D67F8"/>
    <w:p w14:paraId="75FD4991" w14:textId="77777777" w:rsidR="006D67F8" w:rsidRDefault="006D67F8" w:rsidP="006D67F8">
      <w:r w:rsidRPr="001638A6">
        <w:t xml:space="preserve"> </w:t>
      </w:r>
    </w:p>
    <w:p w14:paraId="10FC45CD" w14:textId="77777777" w:rsidR="006D67F8" w:rsidRPr="001638A6" w:rsidRDefault="006D67F8" w:rsidP="006D67F8">
      <w:pPr>
        <w:rPr>
          <w:b/>
          <w:bCs/>
          <w:sz w:val="28"/>
          <w:szCs w:val="28"/>
        </w:rPr>
      </w:pPr>
      <w:bookmarkStart w:id="0" w:name="_GoBack"/>
      <w:r w:rsidRPr="39D35D6F">
        <w:rPr>
          <w:b/>
          <w:bCs/>
          <w:sz w:val="28"/>
          <w:szCs w:val="28"/>
        </w:rPr>
        <w:t>Retningslinjer for besøg i Østagergårds bofællesskaber</w:t>
      </w:r>
    </w:p>
    <w:bookmarkEnd w:id="0"/>
    <w:p w14:paraId="390E8258" w14:textId="77777777" w:rsidR="006D67F8" w:rsidRPr="008E6FFF" w:rsidRDefault="006D67F8" w:rsidP="006D67F8">
      <w:pPr>
        <w:rPr>
          <w:sz w:val="24"/>
          <w:szCs w:val="24"/>
        </w:rPr>
      </w:pPr>
      <w:r w:rsidRPr="39D35D6F">
        <w:rPr>
          <w:sz w:val="24"/>
          <w:szCs w:val="24"/>
        </w:rPr>
        <w:t>Ministerierne har nu ændret reglerne, jf. bekendtgørelse nr. 610 af 13. maj 2020 om midlertidigt forbud mod besøg på botilbud m.v. på socialområdet i forbindelse med håndtering af Coronavirussygdom 2019 (COVID-19).</w:t>
      </w:r>
    </w:p>
    <w:p w14:paraId="7CAB3EA2" w14:textId="77777777" w:rsidR="006D67F8" w:rsidRPr="001638A6" w:rsidRDefault="006D67F8" w:rsidP="006D67F8">
      <w:pPr>
        <w:rPr>
          <w:sz w:val="24"/>
          <w:szCs w:val="24"/>
        </w:rPr>
      </w:pPr>
      <w:r w:rsidRPr="008E6FFF">
        <w:rPr>
          <w:sz w:val="24"/>
          <w:szCs w:val="24"/>
        </w:rPr>
        <w:t xml:space="preserve">Derfor denne skrivelse der beskriver retningslinjerne for Bofællesskaberne på Østagergård. </w:t>
      </w:r>
    </w:p>
    <w:p w14:paraId="508ED6CB" w14:textId="77777777" w:rsidR="006D67F8" w:rsidRPr="008E6FFF" w:rsidRDefault="006D67F8" w:rsidP="006D67F8">
      <w:pPr>
        <w:rPr>
          <w:sz w:val="24"/>
          <w:szCs w:val="24"/>
        </w:rPr>
      </w:pPr>
      <w:r w:rsidRPr="39D35D6F">
        <w:rPr>
          <w:sz w:val="24"/>
          <w:szCs w:val="24"/>
        </w:rPr>
        <w:t>Det er fra mandag den 18. maj 2020 muligt for beboere i boliger med egen indgang at få besøg indendørs. – Hos os på S/I Østagergård er der tale om alle borgere i Bofællesskabet Gården og Ravnshøjgård, med undtagelse af en enkel borger.  På Lundsgården er det muligt for en enkel borger at modtage besøg. For beboere i de øvrige tilbud er det muligt at modtage besøg udendørs. Se retningslinjer nedenfor.</w:t>
      </w:r>
    </w:p>
    <w:p w14:paraId="12D31306" w14:textId="77777777" w:rsidR="006D67F8" w:rsidRPr="001638A6" w:rsidRDefault="006D67F8" w:rsidP="006D67F8">
      <w:pPr>
        <w:rPr>
          <w:sz w:val="24"/>
          <w:szCs w:val="24"/>
        </w:rPr>
      </w:pPr>
      <w:r w:rsidRPr="008E6FFF">
        <w:rPr>
          <w:sz w:val="24"/>
          <w:szCs w:val="24"/>
        </w:rPr>
        <w:t>Der skal med udgangspunkt i beboerens ønske udpejes 1-2 faste besøgspersoner for alle indskrevne beboere – blandt de nærmeste pårørende.</w:t>
      </w:r>
    </w:p>
    <w:p w14:paraId="468D8886" w14:textId="77777777" w:rsidR="006D67F8" w:rsidRPr="008E6FFF" w:rsidRDefault="006D67F8" w:rsidP="006D67F8">
      <w:pPr>
        <w:pStyle w:val="Listeafsnit"/>
        <w:numPr>
          <w:ilvl w:val="0"/>
          <w:numId w:val="4"/>
        </w:numPr>
        <w:spacing w:after="160" w:line="259" w:lineRule="auto"/>
        <w:contextualSpacing/>
        <w:rPr>
          <w:b/>
          <w:bCs/>
          <w:sz w:val="24"/>
          <w:szCs w:val="24"/>
        </w:rPr>
      </w:pPr>
      <w:r w:rsidRPr="008E6FFF">
        <w:rPr>
          <w:b/>
          <w:bCs/>
          <w:sz w:val="24"/>
          <w:szCs w:val="24"/>
        </w:rPr>
        <w:t xml:space="preserve">En beboer kan få besøg af sine besøgspersoner indendørs i den del af tilbuddet, som beboeren selv råder over, hvis: </w:t>
      </w:r>
    </w:p>
    <w:p w14:paraId="3EBB5120"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Borgeren har egen indgang fra udearealer </w:t>
      </w:r>
    </w:p>
    <w:p w14:paraId="3324074D"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Sundhedsmyndighedernes generelle retningslinjer kan overholdes </w:t>
      </w:r>
    </w:p>
    <w:p w14:paraId="0838E42D"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De besøgende alene har adgang til beboerens egen bolig og således ikke kan benytte indendørs fællesarealer </w:t>
      </w:r>
    </w:p>
    <w:p w14:paraId="0996459A"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Borgeren har en grundlæggende forståelse for smitterisiko, hygiejne og rengøring. </w:t>
      </w:r>
    </w:p>
    <w:p w14:paraId="64F8E1B6" w14:textId="77777777" w:rsidR="006D67F8" w:rsidRPr="008E6FFF" w:rsidRDefault="006D67F8" w:rsidP="006D67F8">
      <w:pPr>
        <w:pStyle w:val="Listeafsnit"/>
        <w:numPr>
          <w:ilvl w:val="0"/>
          <w:numId w:val="4"/>
        </w:numPr>
        <w:spacing w:after="160" w:line="259" w:lineRule="auto"/>
        <w:contextualSpacing/>
        <w:rPr>
          <w:sz w:val="24"/>
          <w:szCs w:val="24"/>
        </w:rPr>
      </w:pPr>
      <w:r w:rsidRPr="39D35D6F">
        <w:rPr>
          <w:sz w:val="24"/>
          <w:szCs w:val="24"/>
        </w:rPr>
        <w:t>Den enkelte borger skal have støtte til at gøre rent efter endt besøg – så det er forsvarligt for medarbejder at komme på værelset og i boligen</w:t>
      </w:r>
    </w:p>
    <w:p w14:paraId="3AF7E8DF" w14:textId="77777777" w:rsidR="006D67F8" w:rsidRPr="008E6FFF" w:rsidRDefault="006D67F8" w:rsidP="006D67F8">
      <w:pPr>
        <w:pStyle w:val="Listeafsnit"/>
        <w:numPr>
          <w:ilvl w:val="0"/>
          <w:numId w:val="4"/>
        </w:numPr>
        <w:spacing w:after="160" w:line="259" w:lineRule="auto"/>
        <w:contextualSpacing/>
        <w:rPr>
          <w:sz w:val="24"/>
          <w:szCs w:val="24"/>
        </w:rPr>
      </w:pPr>
      <w:r w:rsidRPr="39D35D6F">
        <w:rPr>
          <w:sz w:val="24"/>
          <w:szCs w:val="24"/>
        </w:rPr>
        <w:t>Der skal nu efter ønske fra beboeren udpeges 1-2 faste besøgspersoner blandt deres nærmeste pårørende. Det betyder, at det i udgangspunktet vil være muligt for alle beboere at få besøg af nogle af de nærmeste. For nogle af beboerne på S/I Østagergård vil det dog kun være muligt med udendørsbesøg – af de aftalte,- 1-2 faste besøgspersoner.</w:t>
      </w:r>
    </w:p>
    <w:p w14:paraId="53AD801D"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Der er fortsat adgang til besøg for borgere i de kritiske situationer. Dette aftales med nærmeste leder.</w:t>
      </w:r>
    </w:p>
    <w:p w14:paraId="4218AEDA" w14:textId="77777777" w:rsidR="006D67F8" w:rsidRPr="001638A6" w:rsidRDefault="006D67F8" w:rsidP="006D67F8">
      <w:pPr>
        <w:rPr>
          <w:sz w:val="24"/>
          <w:szCs w:val="24"/>
        </w:rPr>
      </w:pPr>
      <w:r w:rsidRPr="001638A6">
        <w:rPr>
          <w:i/>
          <w:iCs/>
          <w:sz w:val="24"/>
          <w:szCs w:val="24"/>
        </w:rPr>
        <w:t xml:space="preserve">Hvem er nærmeste pårørende </w:t>
      </w:r>
    </w:p>
    <w:p w14:paraId="47F8C4A0"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Bekendtgørelsens definition af nære pårørende er: </w:t>
      </w:r>
    </w:p>
    <w:p w14:paraId="2D9C0964"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Ægtefælle eller samlever</w:t>
      </w:r>
    </w:p>
    <w:p w14:paraId="5620FDF2"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Slægtninge i lige linje </w:t>
      </w:r>
    </w:p>
    <w:p w14:paraId="4ABB04BB"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Det kan også være søskende, stedbørn og plejebørn </w:t>
      </w:r>
    </w:p>
    <w:p w14:paraId="03B14F48"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En person, som borgeren er nært knyttet til, vil efter konkret vurdering kunne anses for nær pårørende (se Skrivelse fra Social og Indenrigsministeriet, af 13 maj 2020 – doknr 242178)</w:t>
      </w:r>
    </w:p>
    <w:p w14:paraId="443B2C5C" w14:textId="77777777" w:rsidR="006D67F8" w:rsidRPr="001638A6" w:rsidRDefault="006D67F8" w:rsidP="006D67F8">
      <w:pPr>
        <w:rPr>
          <w:sz w:val="24"/>
          <w:szCs w:val="24"/>
        </w:rPr>
      </w:pPr>
      <w:r w:rsidRPr="001638A6">
        <w:rPr>
          <w:i/>
          <w:iCs/>
          <w:sz w:val="24"/>
          <w:szCs w:val="24"/>
        </w:rPr>
        <w:t xml:space="preserve">Lokale beslutninger </w:t>
      </w:r>
    </w:p>
    <w:p w14:paraId="2D21AFE5" w14:textId="77777777" w:rsidR="006D67F8" w:rsidRPr="001638A6" w:rsidRDefault="006D67F8" w:rsidP="006D67F8">
      <w:pPr>
        <w:rPr>
          <w:sz w:val="24"/>
          <w:szCs w:val="24"/>
        </w:rPr>
      </w:pPr>
      <w:r w:rsidRPr="001638A6">
        <w:rPr>
          <w:sz w:val="24"/>
          <w:szCs w:val="24"/>
        </w:rPr>
        <w:t>Det er den lokale ledelse</w:t>
      </w:r>
      <w:r w:rsidRPr="008E6FFF">
        <w:rPr>
          <w:sz w:val="24"/>
          <w:szCs w:val="24"/>
        </w:rPr>
        <w:t xml:space="preserve"> på S/I Østagergård</w:t>
      </w:r>
      <w:r w:rsidRPr="001638A6">
        <w:rPr>
          <w:sz w:val="24"/>
          <w:szCs w:val="24"/>
        </w:rPr>
        <w:t>, der beslutter, hvem der skal udpeges som faste besøgspersoner. De</w:t>
      </w:r>
      <w:r w:rsidRPr="008E6FFF">
        <w:rPr>
          <w:sz w:val="24"/>
          <w:szCs w:val="24"/>
        </w:rPr>
        <w:t xml:space="preserve">tte </w:t>
      </w:r>
      <w:r w:rsidRPr="001638A6">
        <w:rPr>
          <w:sz w:val="24"/>
          <w:szCs w:val="24"/>
        </w:rPr>
        <w:t>ske</w:t>
      </w:r>
      <w:r w:rsidRPr="008E6FFF">
        <w:rPr>
          <w:sz w:val="24"/>
          <w:szCs w:val="24"/>
        </w:rPr>
        <w:t>r efter</w:t>
      </w:r>
      <w:r w:rsidRPr="001638A6">
        <w:rPr>
          <w:sz w:val="24"/>
          <w:szCs w:val="24"/>
        </w:rPr>
        <w:t xml:space="preserve"> inddragelse af beboeren, og beslutningen kan bl.a. basere sig på: </w:t>
      </w:r>
    </w:p>
    <w:p w14:paraId="0065C24E"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Tilbuddets kendskab til beboeren </w:t>
      </w:r>
    </w:p>
    <w:p w14:paraId="5ADBE335"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Tilbuddets hidtidige erfaringer om besøg hos den pågældende beboer </w:t>
      </w:r>
    </w:p>
    <w:p w14:paraId="40A83CED"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Beboerens evt. egne ønsker </w:t>
      </w:r>
    </w:p>
    <w:p w14:paraId="11361BB4"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Tilkendegivelser fra personer, der ønsker at være den pågældendes faste besøgspersoner </w:t>
      </w:r>
    </w:p>
    <w:p w14:paraId="63D1866E" w14:textId="77777777" w:rsidR="006D67F8" w:rsidRPr="008E6FFF" w:rsidRDefault="006D67F8" w:rsidP="006D67F8">
      <w:pPr>
        <w:pStyle w:val="Listeafsnit"/>
        <w:numPr>
          <w:ilvl w:val="0"/>
          <w:numId w:val="4"/>
        </w:numPr>
        <w:spacing w:after="160" w:line="259" w:lineRule="auto"/>
        <w:contextualSpacing/>
        <w:rPr>
          <w:sz w:val="24"/>
          <w:szCs w:val="24"/>
        </w:rPr>
      </w:pPr>
      <w:r w:rsidRPr="39D35D6F">
        <w:rPr>
          <w:sz w:val="24"/>
          <w:szCs w:val="24"/>
        </w:rPr>
        <w:t>Det noteres på Danjournal hvem hver enkelt elev ønsker som faste besøgspersoner.</w:t>
      </w:r>
    </w:p>
    <w:p w14:paraId="781F1315" w14:textId="77777777" w:rsidR="006D67F8" w:rsidRPr="001638A6" w:rsidRDefault="006D67F8" w:rsidP="006D67F8">
      <w:pPr>
        <w:rPr>
          <w:sz w:val="24"/>
          <w:szCs w:val="24"/>
        </w:rPr>
      </w:pPr>
    </w:p>
    <w:p w14:paraId="5B2C06C3" w14:textId="77777777" w:rsidR="006D67F8" w:rsidRPr="001638A6" w:rsidRDefault="006D67F8" w:rsidP="006D67F8">
      <w:pPr>
        <w:rPr>
          <w:sz w:val="24"/>
          <w:szCs w:val="24"/>
        </w:rPr>
      </w:pPr>
      <w:r w:rsidRPr="001638A6">
        <w:rPr>
          <w:i/>
          <w:iCs/>
          <w:sz w:val="24"/>
          <w:szCs w:val="24"/>
        </w:rPr>
        <w:t xml:space="preserve">Afvikling af besøg skal ske på tilbuddets udearealer </w:t>
      </w:r>
      <w:r w:rsidRPr="008E6FFF">
        <w:rPr>
          <w:i/>
          <w:iCs/>
          <w:sz w:val="24"/>
          <w:szCs w:val="24"/>
        </w:rPr>
        <w:t>for de borgere der ikke har egen indgang.</w:t>
      </w:r>
    </w:p>
    <w:p w14:paraId="430C43AD"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Besøgene af de </w:t>
      </w:r>
      <w:r w:rsidRPr="008E6FFF">
        <w:rPr>
          <w:b/>
          <w:bCs/>
          <w:sz w:val="24"/>
          <w:szCs w:val="24"/>
        </w:rPr>
        <w:t>1-2 faste besøgspersoner skal ske på tilbuddenes udearealer på en social- og sundhedsfaglig forsvarlig måde, der skærmer andre beboere og personalet.</w:t>
      </w:r>
      <w:r w:rsidRPr="008E6FFF">
        <w:rPr>
          <w:sz w:val="24"/>
          <w:szCs w:val="24"/>
        </w:rPr>
        <w:t xml:space="preserve"> Det kan være i haverne eller ved gåtur i nærområdet. Der skal efter besøg rengøres evt. havemøbler.</w:t>
      </w:r>
    </w:p>
    <w:p w14:paraId="488D1FB6"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Ledelsen på de enkelte tilbud skal på den baggrund vurdere, hvordan besøgene kan afvikles:</w:t>
      </w:r>
    </w:p>
    <w:p w14:paraId="6906571E" w14:textId="77777777" w:rsidR="006D67F8" w:rsidRPr="008E6FFF" w:rsidRDefault="006D67F8" w:rsidP="006D67F8">
      <w:pPr>
        <w:pStyle w:val="Listeafsnit"/>
        <w:rPr>
          <w:sz w:val="24"/>
          <w:szCs w:val="24"/>
        </w:rPr>
      </w:pPr>
    </w:p>
    <w:p w14:paraId="3348F71C" w14:textId="77777777" w:rsidR="006D67F8" w:rsidRPr="008E6FFF" w:rsidRDefault="006D67F8" w:rsidP="006D67F8">
      <w:pPr>
        <w:pStyle w:val="Listeafsnit"/>
        <w:rPr>
          <w:sz w:val="24"/>
          <w:szCs w:val="24"/>
        </w:rPr>
      </w:pPr>
      <w:r w:rsidRPr="008E6FFF">
        <w:rPr>
          <w:b/>
          <w:bCs/>
          <w:sz w:val="24"/>
          <w:szCs w:val="24"/>
        </w:rPr>
        <w:t>Botilbuddet Gården:</w:t>
      </w:r>
      <w:r w:rsidRPr="008E6FFF">
        <w:rPr>
          <w:sz w:val="24"/>
          <w:szCs w:val="24"/>
        </w:rPr>
        <w:t xml:space="preserve"> Alle elever har egne lejligheder og derfor mulighed for besøg i egen bolig</w:t>
      </w:r>
    </w:p>
    <w:p w14:paraId="113CC584" w14:textId="77777777" w:rsidR="006D67F8" w:rsidRPr="008E6FFF" w:rsidRDefault="006D67F8" w:rsidP="006D67F8">
      <w:pPr>
        <w:pStyle w:val="Listeafsnit"/>
        <w:rPr>
          <w:sz w:val="24"/>
          <w:szCs w:val="24"/>
        </w:rPr>
      </w:pPr>
      <w:r w:rsidRPr="39D35D6F">
        <w:rPr>
          <w:b/>
          <w:bCs/>
          <w:sz w:val="24"/>
          <w:szCs w:val="24"/>
        </w:rPr>
        <w:t>Lundsgården:</w:t>
      </w:r>
      <w:r w:rsidRPr="39D35D6F">
        <w:rPr>
          <w:sz w:val="24"/>
          <w:szCs w:val="24"/>
        </w:rPr>
        <w:t xml:space="preserve"> Kun en enkelt beboer har egen indgang og denne beboer har mulighed for at modtage besøg på eget værelse.</w:t>
      </w:r>
    </w:p>
    <w:p w14:paraId="63721259" w14:textId="77777777" w:rsidR="006D67F8" w:rsidRPr="008E6FFF" w:rsidRDefault="006D67F8" w:rsidP="006D67F8">
      <w:pPr>
        <w:pStyle w:val="Listeafsnit"/>
        <w:rPr>
          <w:sz w:val="24"/>
          <w:szCs w:val="24"/>
        </w:rPr>
      </w:pPr>
      <w:r w:rsidRPr="008E6FFF">
        <w:rPr>
          <w:b/>
          <w:bCs/>
          <w:sz w:val="24"/>
          <w:szCs w:val="24"/>
        </w:rPr>
        <w:t>Over Brugsen:</w:t>
      </w:r>
      <w:r w:rsidRPr="008E6FFF">
        <w:rPr>
          <w:sz w:val="24"/>
          <w:szCs w:val="24"/>
        </w:rPr>
        <w:t xml:space="preserve"> Der er kun mulighed for besøg, der foregår udendørs. Det vil sige gåture i nærområdet.</w:t>
      </w:r>
    </w:p>
    <w:p w14:paraId="2A36BF6B" w14:textId="77777777" w:rsidR="006D67F8" w:rsidRPr="008E6FFF" w:rsidRDefault="006D67F8" w:rsidP="006D67F8">
      <w:pPr>
        <w:pStyle w:val="Listeafsnit"/>
        <w:rPr>
          <w:sz w:val="24"/>
          <w:szCs w:val="24"/>
        </w:rPr>
      </w:pPr>
      <w:r w:rsidRPr="008E6FFF">
        <w:rPr>
          <w:b/>
          <w:bCs/>
          <w:sz w:val="24"/>
          <w:szCs w:val="24"/>
        </w:rPr>
        <w:t>Husene:</w:t>
      </w:r>
      <w:r w:rsidRPr="008E6FFF">
        <w:rPr>
          <w:sz w:val="24"/>
          <w:szCs w:val="24"/>
        </w:rPr>
        <w:t xml:space="preserve"> Mulighed for besøg i haverne ved hvert enkelt hus – ved anviste haveborde og stole.</w:t>
      </w:r>
    </w:p>
    <w:p w14:paraId="115A329B" w14:textId="77777777" w:rsidR="006D67F8" w:rsidRPr="008E6FFF" w:rsidRDefault="006D67F8" w:rsidP="006D67F8">
      <w:pPr>
        <w:pStyle w:val="Listeafsnit"/>
        <w:rPr>
          <w:sz w:val="24"/>
          <w:szCs w:val="24"/>
        </w:rPr>
      </w:pPr>
      <w:r w:rsidRPr="39D35D6F">
        <w:rPr>
          <w:b/>
          <w:bCs/>
          <w:sz w:val="24"/>
          <w:szCs w:val="24"/>
        </w:rPr>
        <w:t xml:space="preserve">Ravnshøjgård: </w:t>
      </w:r>
      <w:r w:rsidRPr="39D35D6F">
        <w:rPr>
          <w:sz w:val="24"/>
          <w:szCs w:val="24"/>
        </w:rPr>
        <w:t>De beboere der har døre der har direkte indgang udefra, har mulighed for besøg i egne lejligheder.</w:t>
      </w:r>
    </w:p>
    <w:p w14:paraId="4C5429C4" w14:textId="77777777" w:rsidR="006D67F8" w:rsidRPr="008E6FFF" w:rsidRDefault="006D67F8" w:rsidP="006D67F8">
      <w:pPr>
        <w:pStyle w:val="Listeafsnit"/>
        <w:rPr>
          <w:sz w:val="24"/>
          <w:szCs w:val="24"/>
        </w:rPr>
      </w:pPr>
      <w:r w:rsidRPr="008E6FFF">
        <w:rPr>
          <w:b/>
          <w:bCs/>
          <w:sz w:val="24"/>
          <w:szCs w:val="24"/>
        </w:rPr>
        <w:t xml:space="preserve">Skovly: </w:t>
      </w:r>
      <w:r w:rsidRPr="008E6FFF">
        <w:rPr>
          <w:sz w:val="24"/>
          <w:szCs w:val="24"/>
        </w:rPr>
        <w:t>Der vil være mulighed for besøg udendørs – ved faste aftaler og anviste borde og stole.</w:t>
      </w:r>
    </w:p>
    <w:p w14:paraId="53D32CA7" w14:textId="77777777" w:rsidR="006D67F8" w:rsidRPr="008E6FFF" w:rsidRDefault="006D67F8" w:rsidP="006D67F8">
      <w:pPr>
        <w:pStyle w:val="Listeafsnit"/>
        <w:rPr>
          <w:sz w:val="24"/>
          <w:szCs w:val="24"/>
        </w:rPr>
      </w:pPr>
      <w:r w:rsidRPr="39D35D6F">
        <w:rPr>
          <w:b/>
          <w:bCs/>
          <w:sz w:val="24"/>
          <w:szCs w:val="24"/>
        </w:rPr>
        <w:t xml:space="preserve">§85 boligerne: </w:t>
      </w:r>
      <w:r w:rsidRPr="39D35D6F">
        <w:rPr>
          <w:sz w:val="24"/>
          <w:szCs w:val="24"/>
        </w:rPr>
        <w:t xml:space="preserve">Beboerne i egne boliger med direkte indgang udefra, har mulighed for besøg. </w:t>
      </w:r>
    </w:p>
    <w:p w14:paraId="6764E473" w14:textId="77777777" w:rsidR="006D67F8" w:rsidRPr="008E6FFF" w:rsidRDefault="006D67F8" w:rsidP="006D67F8">
      <w:pPr>
        <w:pStyle w:val="Listeafsnit"/>
        <w:rPr>
          <w:b/>
          <w:bCs/>
          <w:sz w:val="24"/>
          <w:szCs w:val="24"/>
        </w:rPr>
      </w:pPr>
    </w:p>
    <w:p w14:paraId="249CEB31" w14:textId="77777777" w:rsidR="006D67F8" w:rsidRPr="008E6FFF" w:rsidRDefault="006D67F8" w:rsidP="006D67F8">
      <w:pPr>
        <w:pStyle w:val="Listeafsnit"/>
        <w:numPr>
          <w:ilvl w:val="0"/>
          <w:numId w:val="4"/>
        </w:numPr>
        <w:spacing w:after="160" w:line="259" w:lineRule="auto"/>
        <w:contextualSpacing/>
        <w:rPr>
          <w:b/>
          <w:bCs/>
          <w:sz w:val="24"/>
          <w:szCs w:val="24"/>
        </w:rPr>
      </w:pPr>
      <w:r w:rsidRPr="008E6FFF">
        <w:rPr>
          <w:b/>
          <w:bCs/>
          <w:sz w:val="24"/>
          <w:szCs w:val="24"/>
        </w:rPr>
        <w:t xml:space="preserve">Generelt skal besøg finde sted ud fra fastlagte rammer og efter sundhedsmyndighedernes retningslinjer. Det gælder bl.a. afstand, afspritning, håndvask, god hygiejne m.v. </w:t>
      </w:r>
    </w:p>
    <w:p w14:paraId="32F7815B" w14:textId="77777777" w:rsidR="006D67F8" w:rsidRPr="001638A6" w:rsidRDefault="006D67F8" w:rsidP="006D67F8">
      <w:pPr>
        <w:rPr>
          <w:b/>
          <w:bCs/>
          <w:sz w:val="24"/>
          <w:szCs w:val="24"/>
        </w:rPr>
      </w:pPr>
      <w:r w:rsidRPr="008E6FFF">
        <w:rPr>
          <w:b/>
          <w:bCs/>
          <w:sz w:val="24"/>
          <w:szCs w:val="24"/>
        </w:rPr>
        <w:t>Beskrivelse af hyppighed, tidsramme, antal besøgende og aftaler for besøgsform og særlige forhold:</w:t>
      </w:r>
    </w:p>
    <w:p w14:paraId="5C2A4FA2"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Tidsramme for besøgenes varighed – besøg der er indendørs max 1 time, - besøg der foregår udendørs max 1½ time</w:t>
      </w:r>
    </w:p>
    <w:p w14:paraId="5E3DCFF1"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Fastsættelse af besøgenes hyppighed - max 2 besøg om ugen.</w:t>
      </w:r>
    </w:p>
    <w:p w14:paraId="045F4571"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Fastsættelse af et tidsinterval for mulighed for besøg: - Der vil være mulighed for besøg i eftermiddagstimerne fra 15-17.30 på hverdage og fra 9.30-17.30 i weekenderne. </w:t>
      </w:r>
    </w:p>
    <w:p w14:paraId="55F7C150"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Fastsættelse af et maksimum for antal besøgende: – Der må kun være 1 besøgende ad gangen.</w:t>
      </w:r>
    </w:p>
    <w:p w14:paraId="1CBFFBEC" w14:textId="77777777" w:rsidR="006D67F8" w:rsidRPr="008E6FFF" w:rsidRDefault="006D67F8" w:rsidP="006D67F8">
      <w:pPr>
        <w:pStyle w:val="Listeafsnit"/>
        <w:numPr>
          <w:ilvl w:val="0"/>
          <w:numId w:val="4"/>
        </w:numPr>
        <w:spacing w:after="160" w:line="259" w:lineRule="auto"/>
        <w:contextualSpacing/>
        <w:rPr>
          <w:sz w:val="24"/>
          <w:szCs w:val="24"/>
        </w:rPr>
      </w:pPr>
      <w:r w:rsidRPr="008E6FFF">
        <w:rPr>
          <w:sz w:val="24"/>
          <w:szCs w:val="24"/>
        </w:rPr>
        <w:t xml:space="preserve">Eleverne kan ikke have besøg på samme tid – </w:t>
      </w:r>
      <w:r w:rsidRPr="008E6FFF">
        <w:rPr>
          <w:b/>
          <w:bCs/>
          <w:sz w:val="24"/>
          <w:szCs w:val="24"/>
        </w:rPr>
        <w:t>et besøg i botilbuddene af gangen.</w:t>
      </w:r>
    </w:p>
    <w:p w14:paraId="0C3048C1" w14:textId="77777777" w:rsidR="006D67F8" w:rsidRPr="008E6FFF" w:rsidRDefault="006D67F8" w:rsidP="006D67F8">
      <w:pPr>
        <w:pStyle w:val="Listeafsnit"/>
        <w:numPr>
          <w:ilvl w:val="0"/>
          <w:numId w:val="4"/>
        </w:numPr>
        <w:spacing w:after="160" w:line="259" w:lineRule="auto"/>
        <w:contextualSpacing/>
        <w:rPr>
          <w:sz w:val="24"/>
          <w:szCs w:val="24"/>
        </w:rPr>
      </w:pPr>
      <w:r w:rsidRPr="39D35D6F">
        <w:rPr>
          <w:sz w:val="24"/>
          <w:szCs w:val="24"/>
        </w:rPr>
        <w:t>Afvikling af besøg i form af ”gåtur i haven eller en snak hen over hækken” – aftales og notes i kalender og Danjournal så alle ved hvornår der er aftalt besøg. Det er leder eller faste medarbejdere der laver aftaler for besøg. Leder skal orienteres om besøg.</w:t>
      </w:r>
    </w:p>
    <w:p w14:paraId="3363DA8C" w14:textId="77777777" w:rsidR="006D67F8" w:rsidRPr="008E6FFF" w:rsidRDefault="006D67F8" w:rsidP="006D67F8">
      <w:pPr>
        <w:pStyle w:val="Listeafsnit"/>
        <w:numPr>
          <w:ilvl w:val="0"/>
          <w:numId w:val="4"/>
        </w:numPr>
        <w:spacing w:after="160" w:line="259" w:lineRule="auto"/>
        <w:contextualSpacing/>
        <w:rPr>
          <w:b/>
          <w:bCs/>
          <w:sz w:val="24"/>
          <w:szCs w:val="24"/>
        </w:rPr>
      </w:pPr>
      <w:r w:rsidRPr="008E6FFF">
        <w:rPr>
          <w:b/>
          <w:bCs/>
          <w:sz w:val="24"/>
          <w:szCs w:val="24"/>
        </w:rPr>
        <w:t xml:space="preserve">Generelt skal besøg finde sted ud fra fastlagte rammer og efter sundhedsmyndighedernes retningslinjer. Det gælder bl.a. afstand, afspritning, håndvask, god hygiejne m.v. </w:t>
      </w:r>
    </w:p>
    <w:p w14:paraId="18C3FCD0" w14:textId="77777777" w:rsidR="006D67F8" w:rsidRPr="001638A6" w:rsidRDefault="006D67F8" w:rsidP="006D67F8">
      <w:pPr>
        <w:rPr>
          <w:sz w:val="24"/>
          <w:szCs w:val="24"/>
        </w:rPr>
      </w:pPr>
      <w:r w:rsidRPr="001638A6">
        <w:rPr>
          <w:b/>
          <w:bCs/>
          <w:sz w:val="24"/>
          <w:szCs w:val="24"/>
        </w:rPr>
        <w:t xml:space="preserve">Baggrund for besøgsrestriktioner på socialområdet </w:t>
      </w:r>
    </w:p>
    <w:p w14:paraId="31C663C5" w14:textId="77777777" w:rsidR="006D67F8" w:rsidRPr="008E6FFF" w:rsidRDefault="006D67F8" w:rsidP="006D67F8">
      <w:pPr>
        <w:pStyle w:val="Listeafsnit"/>
        <w:numPr>
          <w:ilvl w:val="0"/>
          <w:numId w:val="3"/>
        </w:numPr>
        <w:spacing w:after="160" w:line="259" w:lineRule="auto"/>
        <w:contextualSpacing/>
        <w:rPr>
          <w:sz w:val="24"/>
          <w:szCs w:val="24"/>
        </w:rPr>
      </w:pPr>
      <w:r w:rsidRPr="008E6FFF">
        <w:rPr>
          <w:sz w:val="24"/>
          <w:szCs w:val="24"/>
        </w:rPr>
        <w:t xml:space="preserve">Den 4. april udstedte social- og indenrigsministeren bekendtgørelse nr. 372 om midlertidigt forbud mod besøg på anbringelsessteder og botilbud m.v. på socialområdet i forbindelse med håndtering af Coronavirussygdom 2019 (COVID-19). </w:t>
      </w:r>
    </w:p>
    <w:p w14:paraId="22EE5CDA" w14:textId="77777777" w:rsidR="006D67F8" w:rsidRPr="008E6FFF" w:rsidRDefault="006D67F8" w:rsidP="006D67F8">
      <w:pPr>
        <w:pStyle w:val="Listeafsnit"/>
        <w:numPr>
          <w:ilvl w:val="0"/>
          <w:numId w:val="3"/>
        </w:numPr>
        <w:spacing w:after="160" w:line="259" w:lineRule="auto"/>
        <w:contextualSpacing/>
        <w:rPr>
          <w:sz w:val="24"/>
          <w:szCs w:val="24"/>
        </w:rPr>
      </w:pPr>
      <w:r w:rsidRPr="008E6FFF">
        <w:rPr>
          <w:sz w:val="24"/>
          <w:szCs w:val="24"/>
        </w:rPr>
        <w:t xml:space="preserve">Formålet med besøgsforbuddet er at beskytte de sårbare grupper, som bor eller opholder sig de pågældende steder mod coronavirus. Forbuddet har været gældende for både fællesarealer, udearealer og de arealer, som beboeren selv råder over. </w:t>
      </w:r>
    </w:p>
    <w:p w14:paraId="2D6CDA55" w14:textId="77777777" w:rsidR="006D67F8" w:rsidRPr="008E6FFF" w:rsidRDefault="006D67F8" w:rsidP="006D67F8">
      <w:pPr>
        <w:pStyle w:val="Listeafsnit"/>
        <w:numPr>
          <w:ilvl w:val="0"/>
          <w:numId w:val="3"/>
        </w:numPr>
        <w:spacing w:after="160" w:line="259" w:lineRule="auto"/>
        <w:contextualSpacing/>
        <w:rPr>
          <w:sz w:val="24"/>
          <w:szCs w:val="24"/>
        </w:rPr>
      </w:pPr>
      <w:r w:rsidRPr="008E6FFF">
        <w:rPr>
          <w:sz w:val="24"/>
          <w:szCs w:val="24"/>
        </w:rPr>
        <w:t xml:space="preserve">Besøg har hidtil alene været muligt, hvis der var tale om kritiske situationer og i så fald skulle det ske efter anvisning fra det enkelte tilbuds ledelse. Kritiske situationer kan f.eks være besøg fra en nær pårørende til en kritisk syg eller døende person, forældres besøg hos et barn under 18 år eller hos en voksen med en kognitiv funktionsnedsættelse. </w:t>
      </w:r>
    </w:p>
    <w:p w14:paraId="4400BF21" w14:textId="77777777" w:rsidR="006D67F8" w:rsidRPr="001638A6" w:rsidRDefault="006D67F8" w:rsidP="006D67F8">
      <w:pPr>
        <w:rPr>
          <w:sz w:val="24"/>
          <w:szCs w:val="24"/>
        </w:rPr>
      </w:pPr>
      <w:r w:rsidRPr="001638A6">
        <w:rPr>
          <w:b/>
          <w:bCs/>
          <w:sz w:val="24"/>
          <w:szCs w:val="24"/>
        </w:rPr>
        <w:t xml:space="preserve">Uddybende spørgsmål om midlertidigt besøgsforbud </w:t>
      </w:r>
    </w:p>
    <w:p w14:paraId="6BB11D11" w14:textId="77777777" w:rsidR="006D67F8" w:rsidRPr="001638A6" w:rsidRDefault="006D67F8" w:rsidP="006D67F8">
      <w:r w:rsidRPr="001638A6">
        <w:t xml:space="preserve">VISO’s hotline for socialfaglige spørgsmål, tlf.: 72 42 40 00 </w:t>
      </w:r>
    </w:p>
    <w:p w14:paraId="04B50B57" w14:textId="77777777" w:rsidR="006D67F8" w:rsidRPr="001638A6" w:rsidRDefault="006D67F8" w:rsidP="006D67F8">
      <w:r w:rsidRPr="001638A6">
        <w:t xml:space="preserve">Styrelsen for Patientsikkerheds hotline til medarbejdere og ledere på sundheds-, ældre- og socialområdet, tlf.: 70 20 02 66 </w:t>
      </w:r>
    </w:p>
    <w:p w14:paraId="3080CD51" w14:textId="77777777" w:rsidR="006D67F8" w:rsidRPr="001638A6" w:rsidRDefault="006D67F8" w:rsidP="006D67F8">
      <w:r w:rsidRPr="001638A6">
        <w:t xml:space="preserve">Myndighedernes fælles COVID-19-hotline, tlf.: 70 20 02 33 </w:t>
      </w:r>
    </w:p>
    <w:p w14:paraId="5851658E" w14:textId="77777777" w:rsidR="006D67F8" w:rsidRPr="008E6FFF" w:rsidRDefault="006D67F8" w:rsidP="006D67F8">
      <w:r w:rsidRPr="008E6FFF">
        <w:t>Bilag – Vejledning om forebyggelse af spredning af COVID19 på Plejecentre, bosteder og andre instruktioner og i hjemmeplejen.</w:t>
      </w:r>
    </w:p>
    <w:p w14:paraId="54FFAC5E" w14:textId="77777777" w:rsidR="00146DF9" w:rsidRDefault="00146DF9" w:rsidP="00146DF9"/>
    <w:p w14:paraId="54FFAC5F" w14:textId="77777777" w:rsidR="00C334C8" w:rsidRDefault="00C334C8" w:rsidP="00146DF9"/>
    <w:p w14:paraId="54FFAC60" w14:textId="77777777" w:rsidR="00C334C8" w:rsidRDefault="00C334C8" w:rsidP="00146DF9"/>
    <w:sectPr w:rsidR="00C334C8">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FAC63" w14:textId="77777777" w:rsidR="008C37CC" w:rsidRDefault="008C37CC" w:rsidP="008C37CC">
      <w:r>
        <w:separator/>
      </w:r>
    </w:p>
  </w:endnote>
  <w:endnote w:type="continuationSeparator" w:id="0">
    <w:p w14:paraId="54FFAC64" w14:textId="77777777" w:rsidR="008C37CC" w:rsidRDefault="008C37CC" w:rsidP="008C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FAC61" w14:textId="77777777" w:rsidR="008C37CC" w:rsidRDefault="008C37CC" w:rsidP="008C37CC">
      <w:r>
        <w:separator/>
      </w:r>
    </w:p>
  </w:footnote>
  <w:footnote w:type="continuationSeparator" w:id="0">
    <w:p w14:paraId="54FFAC62" w14:textId="77777777" w:rsidR="008C37CC" w:rsidRDefault="008C37CC" w:rsidP="008C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FAC65" w14:textId="77777777" w:rsidR="008C37CC" w:rsidRDefault="008C37CC" w:rsidP="00C334C8">
    <w:pPr>
      <w:pStyle w:val="Sidehoved"/>
      <w:jc w:val="center"/>
    </w:pPr>
    <w:r w:rsidRPr="00C334C8">
      <w:rPr>
        <w:noProof/>
        <w:sz w:val="24"/>
        <w:szCs w:val="24"/>
        <w:lang w:eastAsia="da-DK"/>
      </w:rPr>
      <w:drawing>
        <wp:inline distT="0" distB="0" distL="0" distR="0" wp14:anchorId="54FFAC67" wp14:editId="54FFAC68">
          <wp:extent cx="6257925" cy="447675"/>
          <wp:effectExtent l="0" t="0" r="9525" b="9525"/>
          <wp:docPr id="1" name="Billede 1" descr="Z:\KONTORET\Indskrivningsaftaler\Foldere. billeder, Logo osv\oestagergaard_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ONTORET\Indskrivningsaftaler\Foldere. billeder, Logo osv\oestagergaard_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469" cy="450933"/>
                  </a:xfrm>
                  <a:prstGeom prst="rect">
                    <a:avLst/>
                  </a:prstGeom>
                  <a:noFill/>
                  <a:ln>
                    <a:noFill/>
                  </a:ln>
                </pic:spPr>
              </pic:pic>
            </a:graphicData>
          </a:graphic>
        </wp:inline>
      </w:drawing>
    </w:r>
  </w:p>
  <w:p w14:paraId="54FFAC66" w14:textId="77777777" w:rsidR="008C37CC" w:rsidRDefault="008C37CC">
    <w:pPr>
      <w:pStyle w:val="Sidehoved"/>
    </w:pPr>
    <w:r w:rsidRPr="00EB108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20249"/>
    <w:multiLevelType w:val="hybridMultilevel"/>
    <w:tmpl w:val="65D28044"/>
    <w:lvl w:ilvl="0" w:tplc="5A62CE5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4DC45BB"/>
    <w:multiLevelType w:val="hybridMultilevel"/>
    <w:tmpl w:val="8A544036"/>
    <w:lvl w:ilvl="0" w:tplc="F198E61E">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C280E84"/>
    <w:multiLevelType w:val="hybridMultilevel"/>
    <w:tmpl w:val="0F5EF4A8"/>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Times New Roman"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Times New Roman"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Times New Roman" w:hint="default"/>
      </w:rPr>
    </w:lvl>
    <w:lvl w:ilvl="8" w:tplc="04060005">
      <w:start w:val="1"/>
      <w:numFmt w:val="bullet"/>
      <w:lvlText w:val=""/>
      <w:lvlJc w:val="left"/>
      <w:pPr>
        <w:ind w:left="7424" w:hanging="360"/>
      </w:pPr>
      <w:rPr>
        <w:rFonts w:ascii="Wingdings" w:hAnsi="Wingdings" w:hint="default"/>
      </w:rPr>
    </w:lvl>
  </w:abstractNum>
  <w:abstractNum w:abstractNumId="3">
    <w:nsid w:val="7A7F2C0A"/>
    <w:multiLevelType w:val="hybridMultilevel"/>
    <w:tmpl w:val="5C2C911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Times New Roman" w:hint="default"/>
      </w:rPr>
    </w:lvl>
    <w:lvl w:ilvl="2" w:tplc="04060005">
      <w:start w:val="1"/>
      <w:numFmt w:val="bullet"/>
      <w:lvlText w:val=""/>
      <w:lvlJc w:val="left"/>
      <w:pPr>
        <w:ind w:left="3104" w:hanging="360"/>
      </w:pPr>
      <w:rPr>
        <w:rFonts w:ascii="Wingdings" w:hAnsi="Wingdings" w:hint="default"/>
      </w:rPr>
    </w:lvl>
    <w:lvl w:ilvl="3" w:tplc="04060001">
      <w:start w:val="1"/>
      <w:numFmt w:val="bullet"/>
      <w:lvlText w:val=""/>
      <w:lvlJc w:val="left"/>
      <w:pPr>
        <w:ind w:left="3824" w:hanging="360"/>
      </w:pPr>
      <w:rPr>
        <w:rFonts w:ascii="Symbol" w:hAnsi="Symbol" w:hint="default"/>
      </w:rPr>
    </w:lvl>
    <w:lvl w:ilvl="4" w:tplc="04060003">
      <w:start w:val="1"/>
      <w:numFmt w:val="bullet"/>
      <w:lvlText w:val="o"/>
      <w:lvlJc w:val="left"/>
      <w:pPr>
        <w:ind w:left="4544" w:hanging="360"/>
      </w:pPr>
      <w:rPr>
        <w:rFonts w:ascii="Courier New" w:hAnsi="Courier New" w:cs="Times New Roman" w:hint="default"/>
      </w:rPr>
    </w:lvl>
    <w:lvl w:ilvl="5" w:tplc="04060005">
      <w:start w:val="1"/>
      <w:numFmt w:val="bullet"/>
      <w:lvlText w:val=""/>
      <w:lvlJc w:val="left"/>
      <w:pPr>
        <w:ind w:left="5264" w:hanging="360"/>
      </w:pPr>
      <w:rPr>
        <w:rFonts w:ascii="Wingdings" w:hAnsi="Wingdings" w:hint="default"/>
      </w:rPr>
    </w:lvl>
    <w:lvl w:ilvl="6" w:tplc="04060001">
      <w:start w:val="1"/>
      <w:numFmt w:val="bullet"/>
      <w:lvlText w:val=""/>
      <w:lvlJc w:val="left"/>
      <w:pPr>
        <w:ind w:left="5984" w:hanging="360"/>
      </w:pPr>
      <w:rPr>
        <w:rFonts w:ascii="Symbol" w:hAnsi="Symbol" w:hint="default"/>
      </w:rPr>
    </w:lvl>
    <w:lvl w:ilvl="7" w:tplc="04060003">
      <w:start w:val="1"/>
      <w:numFmt w:val="bullet"/>
      <w:lvlText w:val="o"/>
      <w:lvlJc w:val="left"/>
      <w:pPr>
        <w:ind w:left="6704" w:hanging="360"/>
      </w:pPr>
      <w:rPr>
        <w:rFonts w:ascii="Courier New" w:hAnsi="Courier New" w:cs="Times New Roman" w:hint="default"/>
      </w:rPr>
    </w:lvl>
    <w:lvl w:ilvl="8" w:tplc="04060005">
      <w:start w:val="1"/>
      <w:numFmt w:val="bullet"/>
      <w:lvlText w:val=""/>
      <w:lvlJc w:val="left"/>
      <w:pPr>
        <w:ind w:left="742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CC"/>
    <w:rsid w:val="00146DF9"/>
    <w:rsid w:val="001F6346"/>
    <w:rsid w:val="00231F09"/>
    <w:rsid w:val="00486643"/>
    <w:rsid w:val="005D7405"/>
    <w:rsid w:val="006D67F8"/>
    <w:rsid w:val="007F4D51"/>
    <w:rsid w:val="0082251D"/>
    <w:rsid w:val="008C37CC"/>
    <w:rsid w:val="00A13F70"/>
    <w:rsid w:val="00C177DA"/>
    <w:rsid w:val="00C334C8"/>
    <w:rsid w:val="00C50B9C"/>
    <w:rsid w:val="00DB56F9"/>
    <w:rsid w:val="00EB1084"/>
    <w:rsid w:val="00ED337C"/>
    <w:rsid w:val="00F249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9C"/>
    <w:pPr>
      <w:spacing w:after="0" w:line="240" w:lineRule="auto"/>
    </w:pPr>
    <w:rPr>
      <w:rFonts w:ascii="Calibri" w:eastAsia="Times New Roman" w:hAnsi="Calibri" w:cs="Times New Roman"/>
    </w:rPr>
  </w:style>
  <w:style w:type="paragraph" w:styleId="Overskrift2">
    <w:name w:val="heading 2"/>
    <w:basedOn w:val="Normal"/>
    <w:next w:val="Normal"/>
    <w:link w:val="Overskrift2Tegn"/>
    <w:qFormat/>
    <w:rsid w:val="00C334C8"/>
    <w:pPr>
      <w:keepNext/>
      <w:ind w:firstLine="7380"/>
      <w:outlineLvl w:val="1"/>
    </w:pPr>
    <w:rPr>
      <w:rFonts w:ascii="Times New Roman" w:hAnsi="Times New Roman" w:cs="Arial"/>
      <w:i/>
      <w:iCs/>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37CC"/>
    <w:pPr>
      <w:tabs>
        <w:tab w:val="center" w:pos="4819"/>
        <w:tab w:val="right" w:pos="9638"/>
      </w:tabs>
    </w:pPr>
  </w:style>
  <w:style w:type="character" w:customStyle="1" w:styleId="SidehovedTegn">
    <w:name w:val="Sidehoved Tegn"/>
    <w:basedOn w:val="Standardskrifttypeiafsnit"/>
    <w:link w:val="Sidehoved"/>
    <w:uiPriority w:val="99"/>
    <w:rsid w:val="008C37CC"/>
  </w:style>
  <w:style w:type="paragraph" w:styleId="Sidefod">
    <w:name w:val="footer"/>
    <w:basedOn w:val="Normal"/>
    <w:link w:val="SidefodTegn"/>
    <w:uiPriority w:val="99"/>
    <w:unhideWhenUsed/>
    <w:rsid w:val="008C37CC"/>
    <w:pPr>
      <w:tabs>
        <w:tab w:val="center" w:pos="4819"/>
        <w:tab w:val="right" w:pos="9638"/>
      </w:tabs>
    </w:pPr>
  </w:style>
  <w:style w:type="character" w:customStyle="1" w:styleId="SidefodTegn">
    <w:name w:val="Sidefod Tegn"/>
    <w:basedOn w:val="Standardskrifttypeiafsnit"/>
    <w:link w:val="Sidefod"/>
    <w:uiPriority w:val="99"/>
    <w:rsid w:val="008C37CC"/>
  </w:style>
  <w:style w:type="paragraph" w:styleId="Markeringsbobletekst">
    <w:name w:val="Balloon Text"/>
    <w:basedOn w:val="Normal"/>
    <w:link w:val="MarkeringsbobletekstTegn"/>
    <w:uiPriority w:val="99"/>
    <w:semiHidden/>
    <w:unhideWhenUsed/>
    <w:rsid w:val="008C37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7CC"/>
    <w:rPr>
      <w:rFonts w:ascii="Tahoma" w:hAnsi="Tahoma" w:cs="Tahoma"/>
      <w:sz w:val="16"/>
      <w:szCs w:val="16"/>
    </w:rPr>
  </w:style>
  <w:style w:type="character" w:styleId="Hyperlink">
    <w:name w:val="Hyperlink"/>
    <w:basedOn w:val="Standardskrifttypeiafsnit"/>
    <w:uiPriority w:val="99"/>
    <w:unhideWhenUsed/>
    <w:rsid w:val="008C37CC"/>
    <w:rPr>
      <w:color w:val="0000FF" w:themeColor="hyperlink"/>
      <w:u w:val="single"/>
    </w:rPr>
  </w:style>
  <w:style w:type="paragraph" w:styleId="Listeafsnit">
    <w:name w:val="List Paragraph"/>
    <w:basedOn w:val="Normal"/>
    <w:uiPriority w:val="34"/>
    <w:qFormat/>
    <w:rsid w:val="00C50B9C"/>
    <w:pPr>
      <w:ind w:left="720"/>
    </w:pPr>
  </w:style>
  <w:style w:type="character" w:customStyle="1" w:styleId="Overskrift2Tegn">
    <w:name w:val="Overskrift 2 Tegn"/>
    <w:basedOn w:val="Standardskrifttypeiafsnit"/>
    <w:link w:val="Overskrift2"/>
    <w:rsid w:val="00C334C8"/>
    <w:rPr>
      <w:rFonts w:ascii="Times New Roman" w:eastAsia="Times New Roman" w:hAnsi="Times New Roman" w:cs="Arial"/>
      <w:i/>
      <w:iCs/>
      <w:sz w:val="18"/>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B9C"/>
    <w:pPr>
      <w:spacing w:after="0" w:line="240" w:lineRule="auto"/>
    </w:pPr>
    <w:rPr>
      <w:rFonts w:ascii="Calibri" w:eastAsia="Times New Roman" w:hAnsi="Calibri" w:cs="Times New Roman"/>
    </w:rPr>
  </w:style>
  <w:style w:type="paragraph" w:styleId="Overskrift2">
    <w:name w:val="heading 2"/>
    <w:basedOn w:val="Normal"/>
    <w:next w:val="Normal"/>
    <w:link w:val="Overskrift2Tegn"/>
    <w:qFormat/>
    <w:rsid w:val="00C334C8"/>
    <w:pPr>
      <w:keepNext/>
      <w:ind w:firstLine="7380"/>
      <w:outlineLvl w:val="1"/>
    </w:pPr>
    <w:rPr>
      <w:rFonts w:ascii="Times New Roman" w:hAnsi="Times New Roman" w:cs="Arial"/>
      <w:i/>
      <w:iCs/>
      <w:sz w:val="18"/>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C37CC"/>
    <w:pPr>
      <w:tabs>
        <w:tab w:val="center" w:pos="4819"/>
        <w:tab w:val="right" w:pos="9638"/>
      </w:tabs>
    </w:pPr>
  </w:style>
  <w:style w:type="character" w:customStyle="1" w:styleId="SidehovedTegn">
    <w:name w:val="Sidehoved Tegn"/>
    <w:basedOn w:val="Standardskrifttypeiafsnit"/>
    <w:link w:val="Sidehoved"/>
    <w:uiPriority w:val="99"/>
    <w:rsid w:val="008C37CC"/>
  </w:style>
  <w:style w:type="paragraph" w:styleId="Sidefod">
    <w:name w:val="footer"/>
    <w:basedOn w:val="Normal"/>
    <w:link w:val="SidefodTegn"/>
    <w:uiPriority w:val="99"/>
    <w:unhideWhenUsed/>
    <w:rsid w:val="008C37CC"/>
    <w:pPr>
      <w:tabs>
        <w:tab w:val="center" w:pos="4819"/>
        <w:tab w:val="right" w:pos="9638"/>
      </w:tabs>
    </w:pPr>
  </w:style>
  <w:style w:type="character" w:customStyle="1" w:styleId="SidefodTegn">
    <w:name w:val="Sidefod Tegn"/>
    <w:basedOn w:val="Standardskrifttypeiafsnit"/>
    <w:link w:val="Sidefod"/>
    <w:uiPriority w:val="99"/>
    <w:rsid w:val="008C37CC"/>
  </w:style>
  <w:style w:type="paragraph" w:styleId="Markeringsbobletekst">
    <w:name w:val="Balloon Text"/>
    <w:basedOn w:val="Normal"/>
    <w:link w:val="MarkeringsbobletekstTegn"/>
    <w:uiPriority w:val="99"/>
    <w:semiHidden/>
    <w:unhideWhenUsed/>
    <w:rsid w:val="008C37C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C37CC"/>
    <w:rPr>
      <w:rFonts w:ascii="Tahoma" w:hAnsi="Tahoma" w:cs="Tahoma"/>
      <w:sz w:val="16"/>
      <w:szCs w:val="16"/>
    </w:rPr>
  </w:style>
  <w:style w:type="character" w:styleId="Hyperlink">
    <w:name w:val="Hyperlink"/>
    <w:basedOn w:val="Standardskrifttypeiafsnit"/>
    <w:uiPriority w:val="99"/>
    <w:unhideWhenUsed/>
    <w:rsid w:val="008C37CC"/>
    <w:rPr>
      <w:color w:val="0000FF" w:themeColor="hyperlink"/>
      <w:u w:val="single"/>
    </w:rPr>
  </w:style>
  <w:style w:type="paragraph" w:styleId="Listeafsnit">
    <w:name w:val="List Paragraph"/>
    <w:basedOn w:val="Normal"/>
    <w:uiPriority w:val="34"/>
    <w:qFormat/>
    <w:rsid w:val="00C50B9C"/>
    <w:pPr>
      <w:ind w:left="720"/>
    </w:pPr>
  </w:style>
  <w:style w:type="character" w:customStyle="1" w:styleId="Overskrift2Tegn">
    <w:name w:val="Overskrift 2 Tegn"/>
    <w:basedOn w:val="Standardskrifttypeiafsnit"/>
    <w:link w:val="Overskrift2"/>
    <w:rsid w:val="00C334C8"/>
    <w:rPr>
      <w:rFonts w:ascii="Times New Roman" w:eastAsia="Times New Roman" w:hAnsi="Times New Roman" w:cs="Arial"/>
      <w:i/>
      <w:iCs/>
      <w:sz w:val="18"/>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8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52150D6AAA16D48A88264E03E8C1FEA" ma:contentTypeVersion="10" ma:contentTypeDescription="Opret et nyt dokument." ma:contentTypeScope="" ma:versionID="82ad507c14dcf4e446cdd241b6e77449">
  <xsd:schema xmlns:xsd="http://www.w3.org/2001/XMLSchema" xmlns:xs="http://www.w3.org/2001/XMLSchema" xmlns:p="http://schemas.microsoft.com/office/2006/metadata/properties" xmlns:ns2="aff12e87-a38c-4398-86a8-27e9ca2b1216" xmlns:ns3="45c62182-7ed2-480e-b7a1-9d98e9f6499a" targetNamespace="http://schemas.microsoft.com/office/2006/metadata/properties" ma:root="true" ma:fieldsID="e2bfa9bdd7fd8825772bf5d2b74adb46" ns2:_="" ns3:_="">
    <xsd:import namespace="aff12e87-a38c-4398-86a8-27e9ca2b1216"/>
    <xsd:import namespace="45c62182-7ed2-480e-b7a1-9d98e9f649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12e87-a38c-4398-86a8-27e9ca2b1216"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c62182-7ed2-480e-b7a1-9d98e9f6499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92B47-016E-49AF-9947-0380D2930F66}">
  <ds:schemaRefs>
    <ds:schemaRef ds:uri="45c62182-7ed2-480e-b7a1-9d98e9f6499a"/>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aff12e87-a38c-4398-86a8-27e9ca2b1216"/>
    <ds:schemaRef ds:uri="http://purl.org/dc/dcmitype/"/>
  </ds:schemaRefs>
</ds:datastoreItem>
</file>

<file path=customXml/itemProps2.xml><?xml version="1.0" encoding="utf-8"?>
<ds:datastoreItem xmlns:ds="http://schemas.openxmlformats.org/officeDocument/2006/customXml" ds:itemID="{B955BF45-B32F-4282-BC2A-2A48887A2E44}">
  <ds:schemaRefs>
    <ds:schemaRef ds:uri="http://schemas.microsoft.com/sharepoint/v3/contenttype/forms"/>
  </ds:schemaRefs>
</ds:datastoreItem>
</file>

<file path=customXml/itemProps3.xml><?xml version="1.0" encoding="utf-8"?>
<ds:datastoreItem xmlns:ds="http://schemas.openxmlformats.org/officeDocument/2006/customXml" ds:itemID="{6AFA44B9-CC50-4438-8CDC-49280C477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12e87-a38c-4398-86a8-27e9ca2b1216"/>
    <ds:schemaRef ds:uri="45c62182-7ed2-480e-b7a1-9d98e9f649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5584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kontor1</dc:creator>
  <cp:lastModifiedBy>Klara Rasmussen</cp:lastModifiedBy>
  <cp:revision>2</cp:revision>
  <cp:lastPrinted>2014-05-22T12:29:00Z</cp:lastPrinted>
  <dcterms:created xsi:type="dcterms:W3CDTF">2020-05-18T07:17:00Z</dcterms:created>
  <dcterms:modified xsi:type="dcterms:W3CDTF">2020-05-18T07:17:00Z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0x010100752150D6AAA16D48A88264E03E8C1FEA</vt:lpwstr>
  </property>
</Properties>
</file>